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00001" w14:textId="3AE7198A" w:rsidR="001F2FFF" w:rsidRDefault="001F2FFF">
      <w:pPr>
        <w:rPr>
          <w:kern w:val="0"/>
          <w14:ligatures w14:val="none"/>
        </w:rPr>
      </w:pPr>
      <w:r>
        <w:rPr>
          <w:rFonts w:ascii="Cinzel" w:hAnsi="Cinzel"/>
          <w:b/>
          <w:bCs/>
          <w:noProof/>
          <w:color w:val="20304F"/>
          <w:spacing w:val="15"/>
          <w:sz w:val="64"/>
          <w:szCs w:val="64"/>
        </w:rPr>
        <w:drawing>
          <wp:anchor distT="0" distB="0" distL="114300" distR="114300" simplePos="0" relativeHeight="251658240" behindDoc="0" locked="0" layoutInCell="1" allowOverlap="1" wp14:anchorId="33BB8EED" wp14:editId="29A90243">
            <wp:simplePos x="0" y="0"/>
            <wp:positionH relativeFrom="margin">
              <wp:posOffset>5066876</wp:posOffset>
            </wp:positionH>
            <wp:positionV relativeFrom="margin">
              <wp:posOffset>-668231</wp:posOffset>
            </wp:positionV>
            <wp:extent cx="1481455" cy="1481455"/>
            <wp:effectExtent l="0" t="0" r="4445" b="4445"/>
            <wp:wrapSquare wrapText="bothSides"/>
            <wp:docPr id="175170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08290" name="Picture 1751708290"/>
                    <pic:cNvPicPr/>
                  </pic:nvPicPr>
                  <pic:blipFill>
                    <a:blip r:embed="rId6">
                      <a:extLst>
                        <a:ext uri="{28A0092B-C50C-407E-A947-70E740481C1C}">
                          <a14:useLocalDpi xmlns:a14="http://schemas.microsoft.com/office/drawing/2010/main" val="0"/>
                        </a:ext>
                      </a:extLst>
                    </a:blip>
                    <a:stretch>
                      <a:fillRect/>
                    </a:stretch>
                  </pic:blipFill>
                  <pic:spPr>
                    <a:xfrm>
                      <a:off x="0" y="0"/>
                      <a:ext cx="1481455" cy="1481455"/>
                    </a:xfrm>
                    <a:prstGeom prst="rect">
                      <a:avLst/>
                    </a:prstGeom>
                  </pic:spPr>
                </pic:pic>
              </a:graphicData>
            </a:graphic>
            <wp14:sizeRelH relativeFrom="margin">
              <wp14:pctWidth>0</wp14:pctWidth>
            </wp14:sizeRelH>
            <wp14:sizeRelV relativeFrom="margin">
              <wp14:pctHeight>0</wp14:pctHeight>
            </wp14:sizeRelV>
          </wp:anchor>
        </w:drawing>
      </w:r>
      <w:r>
        <w:rPr>
          <w:rFonts w:ascii="Cinzel" w:hAnsi="Cinzel"/>
          <w:b/>
          <w:bCs/>
          <w:color w:val="20304F"/>
          <w:spacing w:val="15"/>
          <w:sz w:val="64"/>
          <w:szCs w:val="64"/>
        </w:rPr>
        <w:t>Decision Bottlenecks and Leadership Threshold Signals</w:t>
      </w:r>
    </w:p>
    <w:p w14:paraId="10000002" w14:textId="77777777" w:rsidR="001F2FFF" w:rsidRDefault="001F2FFF">
      <w:pPr>
        <w:spacing w:after="120"/>
        <w:rPr>
          <w:rFonts w:ascii="Cinzel" w:hAnsi="Cinzel"/>
          <w:color w:val="4E5E72"/>
          <w:sz w:val="20"/>
          <w:szCs w:val="20"/>
        </w:rPr>
      </w:pPr>
      <w:r>
        <w:rPr>
          <w:rFonts w:ascii="Cinzel" w:hAnsi="Cinzel"/>
          <w:color w:val="4E5E72"/>
          <w:sz w:val="20"/>
          <w:szCs w:val="20"/>
        </w:rPr>
        <w:t>Kingdom Planning Leadership Clarity Field Guide — Module 4</w:t>
      </w:r>
    </w:p>
    <w:p w14:paraId="10000003" w14:textId="53586A07" w:rsidR="001F2FFF" w:rsidRDefault="001F2FFF">
      <w:pPr>
        <w:spacing w:before="240" w:after="80"/>
        <w:rPr>
          <w:rFonts w:ascii="Cinzel" w:hAnsi="Cinzel"/>
          <w:b/>
          <w:bCs/>
          <w:color w:val="20304F"/>
          <w:sz w:val="28"/>
          <w:szCs w:val="28"/>
        </w:rPr>
      </w:pPr>
      <w:r>
        <w:rPr>
          <w:rFonts w:ascii="Cinzel" w:hAnsi="Cinzel"/>
          <w:b/>
          <w:bCs/>
          <w:color w:val="20304F"/>
          <w:sz w:val="28"/>
          <w:szCs w:val="28"/>
        </w:rPr>
        <w:t>When Decisions Quietly Become the Constraint</w:t>
      </w:r>
    </w:p>
    <w:p w14:paraId="10000004" w14:textId="77777777" w:rsidR="001F2FFF" w:rsidRDefault="001F2FFF">
      <w:pPr>
        <w:rPr>
          <w:rFonts w:ascii="Cormorant Garamond" w:hAnsi="Cormorant Garamond" w:cs="Cormorant Garamond"/>
        </w:rPr>
      </w:pPr>
      <w:r>
        <w:rPr>
          <w:rFonts w:ascii="Cormorant Garamond" w:hAnsi="Cormorant Garamond" w:cs="Cormorant Garamond"/>
        </w:rPr>
        <w:t>Organizations rarely stall because leaders lack vision or commitment. More often, momentum slows because decisions accumulate faster than they can move through leadership structures. Decision bottlenecks develop gradually, usually in healthy environments led by capable people who care deeply about outcomes. Leaders remain involved to protect alignment, while teams defer upward to maintain unity. Over time, decision flow narrows without anyone intentionally designing it that way.</w:t>
      </w:r>
    </w:p>
    <w:p w14:paraId="10000005" w14:textId="77777777" w:rsidR="001F2FFF" w:rsidRDefault="001F2FFF">
      <w:pPr>
        <w:rPr>
          <w:rFonts w:ascii="Cormorant Garamond" w:hAnsi="Cormorant Garamond" w:cs="Cormorant Garamond"/>
        </w:rPr>
      </w:pPr>
      <w:r>
        <w:rPr>
          <w:rFonts w:ascii="Cormorant Garamond" w:hAnsi="Cormorant Garamond" w:cs="Cormorant Garamond"/>
        </w:rPr>
        <w:t>Decision bottlenecks are difficult to recognize because activity remains high. Meetings continue, conversations occur regularly, and leaders remain engaged. Yet progress increasingly depends on availability rather than clarity. Work pauses while waiting for confirmation. Initiative slows as uncertainty grows. The organization appears busy while forward momentum becomes uneven.</w:t>
      </w:r>
    </w:p>
    <w:p w14:paraId="10000006" w14:textId="77777777" w:rsidR="001F2FFF" w:rsidRDefault="001F2FFF">
      <w:pPr>
        <w:rPr>
          <w:rFonts w:ascii="Cormorant Garamond" w:hAnsi="Cormorant Garamond" w:cs="Cormorant Garamond"/>
        </w:rPr>
      </w:pPr>
      <w:r>
        <w:rPr>
          <w:rFonts w:ascii="Cormorant Garamond" w:hAnsi="Cormorant Garamond" w:cs="Cormorant Garamond"/>
        </w:rPr>
        <w:t>What makes this pattern particularly difficult to name is that it can persist for long seasons while the organization still appears healthy from the outside. Programs continue. Attendance holds. Staff remain committed. The friction does not announce itself as a structural problem. It presents instead as a general heaviness that leaders feel but struggle to locate. Conversations that once resolved quickly now require additional rounds. Projects stall at familiar transition points. The sense that things require more effort than they should becomes a quiet background reality rather than an acute concern.</w:t>
      </w:r>
    </w:p>
    <w:p w14:paraId="10000007" w14:textId="77777777" w:rsidR="001F2FFF" w:rsidRDefault="001F2FFF">
      <w:pPr>
        <w:rPr>
          <w:rFonts w:ascii="Cormorant Garamond" w:hAnsi="Cormorant Garamond" w:cs="Cormorant Garamond"/>
        </w:rPr>
      </w:pPr>
      <w:r>
        <w:rPr>
          <w:rFonts w:ascii="Cormorant Garamond" w:hAnsi="Cormorant Garamond" w:cs="Cormorant Garamond"/>
        </w:rPr>
        <w:t>This guide does not attempt to resolve what it describes. The patterns explored here are ones that benefit from honest, guided conversation within the specific context of each organization. What this module offers is awareness. The goal is for leaders to recognize what they may already be sensing but have not yet named.</w:t>
      </w:r>
    </w:p>
    <w:p w14:paraId="10000008" w14:textId="77777777" w:rsidR="001F2FFF" w:rsidRDefault="001F2FFF">
      <w:pPr>
        <w:spacing w:after="0"/>
        <w:rPr>
          <w:rFonts w:ascii="Cormorant Garamond" w:eastAsia="Times New Roman" w:hAnsi="Cormorant Garamond" w:cs="Cormorant Garamond"/>
          <w:i/>
          <w:iCs/>
          <w:color w:val="4E5E72"/>
        </w:rPr>
      </w:pPr>
      <w:r>
        <w:rPr>
          <w:rFonts w:ascii="Cormorant Garamond" w:eastAsia="Times New Roman" w:hAnsi="Cormorant Garamond" w:cs="Cormorant Garamond"/>
          <w:i/>
          <w:iCs/>
          <w:color w:val="4E5E72"/>
        </w:rPr>
        <w:lastRenderedPageBreak/>
        <w:t>Scripture offers enduring wisdom regarding the limits of concentrated leadership responsibility. When Moses attempted to personally oversee every dispute among the people, Jethro recognized the unsustainable pattern before Moses did.</w:t>
      </w:r>
    </w:p>
    <w:p w14:paraId="10000009"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“This job is too heavy a burden for you to handle all by yourself.” — Exodus 18:18 (NLT)</w:t>
      </w:r>
    </w:p>
    <w:p w14:paraId="10000010" w14:textId="77777777" w:rsidR="001F2FFF" w:rsidRDefault="001F2FFF">
      <w:pPr>
        <w:spacing w:after="0"/>
        <w:rPr>
          <w:rFonts w:ascii="Cormorant Garamond" w:eastAsia="Times New Roman" w:hAnsi="Cormorant Garamond" w:cs="Cormorant Garamond"/>
          <w:i/>
          <w:iCs/>
          <w:color w:val="22304A"/>
        </w:rPr>
      </w:pPr>
      <w:r>
        <w:rPr>
          <w:rFonts w:ascii="Cormorant Garamond" w:eastAsia="Times New Roman" w:hAnsi="Cormorant Garamond" w:cs="Cormorant Garamond"/>
          <w:i/>
          <w:iCs/>
          <w:color w:val="22304A"/>
        </w:rPr>
        <w:t>The concern Jethro raised was not about Moses’ character or capability. It was about structural sustainability. The same observation surfaces regularly in ministry organizations today, often long after the pattern has taken root.</w:t>
      </w:r>
    </w:p>
    <w:p w14:paraId="10000011" w14:textId="77777777" w:rsidR="001F2FFF" w:rsidRDefault="001F2FFF">
      <w:pPr>
        <w:spacing w:after="0"/>
      </w:pPr>
    </w:p>
    <w:p w14:paraId="10000012"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How Decision Bottlenecks Form</w:t>
      </w:r>
    </w:p>
    <w:p w14:paraId="10000013" w14:textId="77777777" w:rsidR="001F2FFF" w:rsidRDefault="001F2FFF">
      <w:pPr>
        <w:rPr>
          <w:rFonts w:ascii="Cormorant Garamond" w:hAnsi="Cormorant Garamond" w:cs="Cormorant Garamond"/>
        </w:rPr>
      </w:pPr>
      <w:r>
        <w:rPr>
          <w:rFonts w:ascii="Cormorant Garamond" w:hAnsi="Cormorant Garamond" w:cs="Cormorant Garamond"/>
        </w:rPr>
        <w:t>Decision bottlenecks usually begin as acts of care. Senior leaders remain accessible so teams feel supported. Important decisions are reviewed to preserve consistency. Temporary oversight continues longer than expected because outcomes remain positive. Gradually, authority patterns shift informally. Teams learn where decisions ultimately land and begin routing uncertainty upward automatically.</w:t>
      </w:r>
    </w:p>
    <w:p w14:paraId="10000014" w14:textId="77777777" w:rsidR="001F2FFF" w:rsidRDefault="001F2FFF">
      <w:pPr>
        <w:rPr>
          <w:rFonts w:ascii="Cormorant Garamond" w:hAnsi="Cormorant Garamond" w:cs="Cormorant Garamond"/>
        </w:rPr>
      </w:pPr>
      <w:r>
        <w:rPr>
          <w:rFonts w:ascii="Cormorant Garamond" w:hAnsi="Cormorant Garamond" w:cs="Cormorant Garamond"/>
        </w:rPr>
        <w:t>As complexity increases, leaders become involved in decisions that no longer require their direct oversight. Cognitive load expands even while leadership roles remain unchanged on paper. Decision queues form quietly. Timing delays appear normal because everyone remains busy. Over time, leadership attention becomes fragmented across too many operational choices, and the leaders themselves often cannot pinpoint when or how that fragmentation began.</w:t>
      </w:r>
    </w:p>
    <w:p w14:paraId="10000015" w14:textId="77777777" w:rsidR="001F2FFF" w:rsidRDefault="001F2FFF">
      <w:pPr>
        <w:rPr>
          <w:rFonts w:ascii="Cormorant Garamond" w:hAnsi="Cormorant Garamond" w:cs="Cormorant Garamond"/>
        </w:rPr>
      </w:pPr>
      <w:r>
        <w:rPr>
          <w:rFonts w:ascii="Cormorant Garamond" w:hAnsi="Cormorant Garamond" w:cs="Cormorant Garamond"/>
        </w:rPr>
        <w:t>This pattern rarely reflects distrust. Instead, it reflects authority boundaries that were never clearly defined as the organization grew. When expectations remain unspoken, organizations compensate through escalation. Meetings multiply to maintain alignment, unintentionally reinforcing dependence. The system functions, but the cost accumulates beneath the surface in ways that are difficult to quantify and easy to normalize.</w:t>
      </w:r>
    </w:p>
    <w:p w14:paraId="10000016" w14:textId="77777777" w:rsidR="001F2FFF" w:rsidRDefault="001F2FFF">
      <w:pPr>
        <w:rPr>
          <w:rFonts w:ascii="Cormorant Garamond" w:hAnsi="Cormorant Garamond" w:cs="Cormorant Garamond"/>
        </w:rPr>
      </w:pPr>
      <w:r>
        <w:rPr>
          <w:rFonts w:ascii="Cormorant Garamond" w:hAnsi="Cormorant Garamond" w:cs="Cormorant Garamond"/>
        </w:rPr>
        <w:t>It is worth noting that bottlenecks often intensify during seasons of growth rather than decline. As a ministry expands its reach, adds programs, or brings on additional staff, the volume of decisions requiring resolution increases proportionally. If the underlying authority structure does not keep pace, the bottleneck deepens even as the organization celebrates outward momentum. Growth without structural adjustment creates a form of invisible strain that compounds quietly over time.</w:t>
      </w:r>
    </w:p>
    <w:p w14:paraId="10000017" w14:textId="77777777" w:rsidR="001F2FFF" w:rsidRDefault="001F2FFF">
      <w:pPr>
        <w:rPr>
          <w:rFonts w:ascii="Cormorant Garamond" w:hAnsi="Cormorant Garamond" w:cs="Cormorant Garamond"/>
        </w:rPr>
      </w:pPr>
      <w:r>
        <w:rPr>
          <w:rFonts w:ascii="Cormorant Garamond" w:hAnsi="Cormorant Garamond" w:cs="Cormorant Garamond"/>
        </w:rPr>
        <w:t xml:space="preserve">Another contributing factor is the absence of explicit decision-level frameworks. In many ministries, the question of who decides what has never been formally addressed. Authority is </w:t>
      </w:r>
      <w:r>
        <w:rPr>
          <w:rFonts w:ascii="Cormorant Garamond" w:hAnsi="Cormorant Garamond" w:cs="Cormorant Garamond"/>
        </w:rPr>
        <w:lastRenderedPageBreak/>
        <w:t>assumed rather than assigned. Leaders operate from general understanding rather than clear definition. As long as an organization remains small and relationships remain close, this arrangement often works. When complexity grows, the absence of explicit frameworks creates friction at nearly every decision point, and that friction is rarely traced back to its structural source.</w:t>
      </w:r>
    </w:p>
    <w:p w14:paraId="10000018" w14:textId="77777777" w:rsidR="001F2FFF" w:rsidRDefault="001F2FFF">
      <w:pPr>
        <w:spacing w:after="0"/>
      </w:pPr>
    </w:p>
    <w:p w14:paraId="10000019"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Understanding Leadership Threshold Signals</w:t>
      </w:r>
    </w:p>
    <w:p w14:paraId="10000020" w14:textId="77777777" w:rsidR="001F2FFF" w:rsidRDefault="001F2FFF">
      <w:pPr>
        <w:rPr>
          <w:rFonts w:ascii="Cormorant Garamond" w:hAnsi="Cormorant Garamond" w:cs="Cormorant Garamond"/>
        </w:rPr>
      </w:pPr>
      <w:r>
        <w:rPr>
          <w:rFonts w:ascii="Cormorant Garamond" w:hAnsi="Cormorant Garamond" w:cs="Cormorant Garamond"/>
        </w:rPr>
        <w:t>Every leadership system operates within practical limits, even when those limits remain unnamed. Threshold signals appear when decision demand approaches or exceeds what the current leadership structure can absorb. These signals rarely announce themselves dramatically. They surface instead as a gradual shift in how leadership feels from the inside. Leaders may notice that their attention spans in meetings have shortened. Decision conversations begin lasting longer without producing greater clarity. The same questions resurface repeatedly without finding resolution.</w:t>
      </w:r>
    </w:p>
    <w:p w14:paraId="10000021" w14:textId="77777777" w:rsidR="001F2FFF" w:rsidRDefault="001F2FFF">
      <w:pPr>
        <w:rPr>
          <w:rFonts w:ascii="Cormorant Garamond" w:hAnsi="Cormorant Garamond" w:cs="Cormorant Garamond"/>
        </w:rPr>
      </w:pPr>
      <w:r>
        <w:rPr>
          <w:rFonts w:ascii="Cormorant Garamond" w:hAnsi="Cormorant Garamond" w:cs="Cormorant Garamond"/>
        </w:rPr>
        <w:t>Threshold signals often appear first as relational tension. Leaders feel pressure to respond quickly while still wanting thoughtful discernment. Staff may experience delays without understanding their structural cause. Momentum becomes inconsistent in ways that frustrate teams despite their strong commitment. These signals indicate not failure, but approaching capacity limits that have not yet been acknowledged or addressed.</w:t>
      </w:r>
    </w:p>
    <w:p w14:paraId="10000022" w14:textId="77777777" w:rsidR="001F2FFF" w:rsidRDefault="001F2FFF">
      <w:pPr>
        <w:rPr>
          <w:rFonts w:ascii="Cormorant Garamond" w:hAnsi="Cormorant Garamond" w:cs="Cormorant Garamond"/>
        </w:rPr>
      </w:pPr>
      <w:r>
        <w:rPr>
          <w:rFonts w:ascii="Cormorant Garamond" w:hAnsi="Cormorant Garamond" w:cs="Cormorant Garamond"/>
        </w:rPr>
        <w:t>Some threshold signals are internal to individual leaders. A senior pastor or executive director may find themselves mentally carrying operational details during rest. Strategic planning conversations feel shallow because immediate operational questions continue pulling focus. Creative thinking diminishes not from lack of imagination but from insufficient margin for reflection. These experiences feel personal rather than organizational, which is part of what makes them difficult to name and easy to internalize as character weaknesses rather than structural symptoms.</w:t>
      </w:r>
    </w:p>
    <w:p w14:paraId="10000023" w14:textId="77777777" w:rsidR="001F2FFF" w:rsidRDefault="001F2FFF">
      <w:pPr>
        <w:rPr>
          <w:rFonts w:ascii="Cormorant Garamond" w:hAnsi="Cormorant Garamond" w:cs="Cormorant Garamond"/>
        </w:rPr>
      </w:pPr>
      <w:r>
        <w:rPr>
          <w:rFonts w:ascii="Cormorant Garamond" w:hAnsi="Cormorant Garamond" w:cs="Cormorant Garamond"/>
        </w:rPr>
        <w:t>Other threshold signals emerge at the team level. Staff members begin framing proposals as questions rather than conclusions, hedging recommendations with qualifiers, or consistently seeking reassurance before acting. This is not indecisiveness but a learned response to environments where authority has not been made clear. Over time, organizations quietly lose access to the full judgment of their teams because that judgment has been conditioned toward caution rather than confidence.</w:t>
      </w:r>
    </w:p>
    <w:p w14:paraId="10000024" w14:textId="77777777" w:rsidR="001F2FFF" w:rsidRDefault="001F2FFF">
      <w:pPr>
        <w:rPr>
          <w:rFonts w:ascii="Cormorant Garamond" w:hAnsi="Cormorant Garamond" w:cs="Cormorant Garamond"/>
        </w:rPr>
      </w:pPr>
      <w:r>
        <w:rPr>
          <w:rFonts w:ascii="Cormorant Garamond" w:hAnsi="Cormorant Garamond" w:cs="Cormorant Garamond"/>
        </w:rPr>
        <w:t>Threshold signals are worth taking seriously precisely because they are easy to dismiss. Leaders who are deeply committed to their organizations naturally interpret strain as a call to greater personal effort. They work harder, stay later, absorb more. For a season, this response sustains momentum. Over time, however, it deepens the bottleneck rather than resolving it, because the structural conditions that generated the strain remain unchanged.</w:t>
      </w:r>
    </w:p>
    <w:p w14:paraId="10000025" w14:textId="77777777" w:rsidR="001F2FFF" w:rsidRDefault="001F2FFF">
      <w:pPr>
        <w:spacing w:after="0"/>
        <w:rPr>
          <w:rFonts w:ascii="Cormorant Garamond" w:eastAsia="Times New Roman" w:hAnsi="Cormorant Garamond" w:cs="Cormorant Garamond"/>
          <w:i/>
          <w:iCs/>
          <w:color w:val="4E5E72"/>
        </w:rPr>
      </w:pPr>
      <w:r>
        <w:rPr>
          <w:rFonts w:ascii="Cormorant Garamond" w:eastAsia="Times New Roman" w:hAnsi="Cormorant Garamond" w:cs="Cormorant Garamond"/>
          <w:i/>
          <w:iCs/>
          <w:color w:val="4E5E72"/>
        </w:rPr>
        <w:lastRenderedPageBreak/>
        <w:t>Scripture consistently connects admirable leadership with the quality of judgment it produces. Good judgment, however, requires sufficient margin to function well. When decision demand exceeds available margin, even capable and faithful leaders begin experiencing a narrowing of their discernment that they may not recognize in themselves.</w:t>
      </w:r>
    </w:p>
    <w:p w14:paraId="10000026"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“A sensible person wins admiration for good judgment.” — Proverbs 12:8 (NLT)</w:t>
      </w:r>
    </w:p>
    <w:p w14:paraId="10000027" w14:textId="77777777" w:rsidR="001F2FFF" w:rsidRDefault="001F2FFF">
      <w:pPr>
        <w:spacing w:after="0"/>
        <w:rPr>
          <w:rFonts w:ascii="Cormorant Garamond" w:eastAsia="Times New Roman" w:hAnsi="Cormorant Garamond" w:cs="Cormorant Garamond"/>
          <w:i/>
          <w:iCs/>
          <w:color w:val="22304A"/>
        </w:rPr>
      </w:pPr>
      <w:r>
        <w:rPr>
          <w:rFonts w:ascii="Cormorant Garamond" w:eastAsia="Times New Roman" w:hAnsi="Cormorant Garamond" w:cs="Cormorant Garamond"/>
          <w:i/>
          <w:iCs/>
          <w:color w:val="22304A"/>
        </w:rPr>
        <w:t>Protecting the quality of leadership judgment requires more than personal discipline. It requires structural conditions that allow margin to exist in the first place. Recognizing threshold signals is the beginning of that protection.</w:t>
      </w:r>
    </w:p>
    <w:p w14:paraId="10000028" w14:textId="77777777" w:rsidR="001F2FFF" w:rsidRDefault="001F2FFF">
      <w:pPr>
        <w:spacing w:after="0"/>
      </w:pPr>
    </w:p>
    <w:p w14:paraId="10000029"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Organizational Effects of Decision Saturation</w:t>
      </w:r>
    </w:p>
    <w:p w14:paraId="10000030" w14:textId="77777777" w:rsidR="001F2FFF" w:rsidRDefault="001F2FFF">
      <w:pPr>
        <w:rPr>
          <w:rFonts w:ascii="Cormorant Garamond" w:hAnsi="Cormorant Garamond" w:cs="Cormorant Garamond"/>
        </w:rPr>
      </w:pPr>
      <w:r>
        <w:rPr>
          <w:rFonts w:ascii="Cormorant Garamond" w:hAnsi="Cormorant Garamond" w:cs="Cormorant Garamond"/>
        </w:rPr>
        <w:t>Decision saturation reshapes leadership culture gradually. Initiative decreases because teams become cautious about acting independently. Creativity narrows as energy shifts toward coordination rather than innovation. Senior leaders spend increasing time resolving operational questions instead of guiding future direction. Strategic conversations move continually into later seasons without a clear reason why.</w:t>
      </w:r>
    </w:p>
    <w:p w14:paraId="10000031" w14:textId="77777777" w:rsidR="001F2FFF" w:rsidRDefault="001F2FFF">
      <w:pPr>
        <w:rPr>
          <w:rFonts w:ascii="Cormorant Garamond" w:hAnsi="Cormorant Garamond" w:cs="Cormorant Garamond"/>
        </w:rPr>
      </w:pPr>
      <w:r>
        <w:rPr>
          <w:rFonts w:ascii="Cormorant Garamond" w:hAnsi="Cormorant Garamond" w:cs="Cormorant Garamond"/>
        </w:rPr>
        <w:t>Over time, dependency replaces empowerment. Capable leaders and staff hesitate without confirmation because the boundaries of their authority have never been made clear. Organizational learning slows since decisions repeatedly return to central leadership rather than developing across teams. None of these outcomes result from poor leadership. They reflect structural concentration that formed unintentionally, and they are rarely visible until someone looks at the system as a whole rather than at individual performance.</w:t>
      </w:r>
    </w:p>
    <w:p w14:paraId="10000032" w14:textId="77777777" w:rsidR="001F2FFF" w:rsidRDefault="001F2FFF">
      <w:pPr>
        <w:rPr>
          <w:rFonts w:ascii="Cormorant Garamond" w:hAnsi="Cormorant Garamond" w:cs="Cormorant Garamond"/>
        </w:rPr>
      </w:pPr>
      <w:r>
        <w:rPr>
          <w:rFonts w:ascii="Cormorant Garamond" w:hAnsi="Cormorant Garamond" w:cs="Cormorant Garamond"/>
        </w:rPr>
        <w:t>There is also a cost to mission clarity that is easy to overlook. When senior leaders are spending the majority of their decision-making energy on operational and logistical questions, less capacity remains for the forward-looking dimensions of their calling. Churches and nonprofits that began with a sharp and compelling sense of purpose can gradually lose that edge, not because the purpose has changed, but because the leaders responsible for carrying the vision forward no longer have the margin to tend it well. Decision saturation quietly erodes the strategic dimension of leadership without any single decision being to blame.</w:t>
      </w:r>
    </w:p>
    <w:p w14:paraId="10000033" w14:textId="77777777" w:rsidR="001F2FFF" w:rsidRDefault="001F2FFF">
      <w:pPr>
        <w:rPr>
          <w:rFonts w:ascii="Cormorant Garamond" w:hAnsi="Cormorant Garamond" w:cs="Cormorant Garamond"/>
        </w:rPr>
      </w:pPr>
      <w:r>
        <w:rPr>
          <w:rFonts w:ascii="Cormorant Garamond" w:hAnsi="Cormorant Garamond" w:cs="Cormorant Garamond"/>
        </w:rPr>
        <w:t xml:space="preserve">Volunteer engagement often reflects these pressures as well. Volunteers who bring genuine capacity and passion to an organization will eventually disengage if their contributions are consistently filtered through bottlenecked approval processes. When good judgment is routinely deferred upward for confirmation, volunteers learn over time that the organization does not fully trust them </w:t>
      </w:r>
      <w:r>
        <w:rPr>
          <w:rFonts w:ascii="Cormorant Garamond" w:hAnsi="Cormorant Garamond" w:cs="Cormorant Garamond"/>
        </w:rPr>
        <w:lastRenderedPageBreak/>
        <w:t>to contribute independently. The result is either passive compliance or quiet departure, neither of which reflects the volunteers’ actual capacity or desire to serve.</w:t>
      </w:r>
    </w:p>
    <w:p w14:paraId="10000034" w14:textId="77777777" w:rsidR="001F2FFF" w:rsidRDefault="001F2FFF">
      <w:pPr>
        <w:spacing w:after="0"/>
        <w:rPr>
          <w:rFonts w:ascii="Cormorant Garamond" w:eastAsia="Times New Roman" w:hAnsi="Cormorant Garamond" w:cs="Cormorant Garamond"/>
          <w:i/>
          <w:iCs/>
          <w:color w:val="4E5E72"/>
        </w:rPr>
      </w:pPr>
      <w:r>
        <w:rPr>
          <w:rFonts w:ascii="Cormorant Garamond" w:eastAsia="Times New Roman" w:hAnsi="Cormorant Garamond" w:cs="Cormorant Garamond"/>
          <w:i/>
          <w:iCs/>
          <w:color w:val="4E5E72"/>
        </w:rPr>
        <w:t>The early church faced a parallel challenge as it grew. The original leaders found themselves stretched across responsibilities that had multiplied beyond what any small group could sustainably carry without structural adjustment.</w:t>
      </w:r>
    </w:p>
    <w:p w14:paraId="10000035"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“We apostles should spend our time teaching the word of God, not running a food program.” — Acts 6:2 (NLT)</w:t>
      </w:r>
    </w:p>
    <w:p w14:paraId="10000036" w14:textId="77777777" w:rsidR="001F2FFF" w:rsidRDefault="001F2FFF">
      <w:pPr>
        <w:spacing w:after="0"/>
        <w:rPr>
          <w:rFonts w:ascii="Cormorant Garamond" w:eastAsia="Times New Roman" w:hAnsi="Cormorant Garamond" w:cs="Cormorant Garamond"/>
          <w:i/>
          <w:iCs/>
          <w:color w:val="22304A"/>
        </w:rPr>
      </w:pPr>
      <w:r>
        <w:rPr>
          <w:rFonts w:ascii="Cormorant Garamond" w:eastAsia="Times New Roman" w:hAnsi="Cormorant Garamond" w:cs="Cormorant Garamond"/>
          <w:i/>
          <w:iCs/>
          <w:color w:val="22304A"/>
        </w:rPr>
        <w:t>The response that followed was structural redistribution, not simply harder effort. What made that adjustment possible was the willingness to name the problem clearly before it became a crisis. That same willingness is what this module is designed to cultivate.</w:t>
      </w:r>
    </w:p>
    <w:p w14:paraId="10000037" w14:textId="77777777" w:rsidR="001F2FFF" w:rsidRDefault="001F2FFF">
      <w:pPr>
        <w:spacing w:after="0"/>
      </w:pPr>
    </w:p>
    <w:p w14:paraId="10000038"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Common Patterns Worth Recognizing</w:t>
      </w:r>
    </w:p>
    <w:p w14:paraId="10000039" w14:textId="77777777" w:rsidR="001F2FFF" w:rsidRDefault="001F2FFF">
      <w:pPr>
        <w:rPr>
          <w:rFonts w:ascii="Cormorant Garamond" w:hAnsi="Cormorant Garamond" w:cs="Cormorant Garamond"/>
        </w:rPr>
      </w:pPr>
      <w:r>
        <w:rPr>
          <w:rFonts w:ascii="Cormorant Garamond" w:hAnsi="Cormorant Garamond" w:cs="Cormorant Garamond"/>
        </w:rPr>
        <w:t>Certain patterns tend to repeat across different organizational contexts when decision bottlenecks have taken root. Naming them is not the same as diagnosing their cause or charting their resolution. What follows are descriptions intended only to help leaders recognize experiences they may already be having but have not yet connected to a structural source.</w:t>
      </w:r>
    </w:p>
    <w:p w14:paraId="10000040" w14:textId="77777777" w:rsidR="001F2FFF" w:rsidRDefault="001F2FFF">
      <w:pPr>
        <w:rPr>
          <w:rFonts w:ascii="Cormorant Garamond" w:hAnsi="Cormorant Garamond" w:cs="Cormorant Garamond"/>
        </w:rPr>
      </w:pPr>
      <w:r>
        <w:rPr>
          <w:rFonts w:ascii="Cormorant Garamond" w:hAnsi="Cormorant Garamond" w:cs="Cormorant Garamond"/>
        </w:rPr>
        <w:t>One pattern involves questions that circulate without resolution. A topic is raised, discussed in a meeting, tabled for further consideration, and revisited in a later meeting, often arriving at the same place it started. The loop persists not because leaders lack the ability to decide but because no one has been clearly authorized to close the question. Everyone in the loop may be acting responsibly. The process still consumes far more energy than the decision itself warrants, and few people inside it can explain exactly why it keeps recurring.</w:t>
      </w:r>
    </w:p>
    <w:p w14:paraId="10000041" w14:textId="77777777" w:rsidR="001F2FFF" w:rsidRDefault="001F2FFF">
      <w:pPr>
        <w:rPr>
          <w:rFonts w:ascii="Cormorant Garamond" w:hAnsi="Cormorant Garamond" w:cs="Cormorant Garamond"/>
        </w:rPr>
      </w:pPr>
      <w:r>
        <w:rPr>
          <w:rFonts w:ascii="Cormorant Garamond" w:hAnsi="Cormorant Garamond" w:cs="Cormorant Garamond"/>
        </w:rPr>
        <w:t>Another pattern involves a gap between accountability and authority that no one has named. A program leader is responsible for delivering a ministry initiative but does not possess clear authority over the decisions required to achieve it. Every question that touches certain boundaries must travel upward. The leader is held accountable for outcomes while being structurally dependent on approvals they cannot control. This gap is one of the more common sources of quiet frustration in ministry leadership, and it rarely surfaces in performance conversations because neither party recognizes its structural origin.</w:t>
      </w:r>
    </w:p>
    <w:p w14:paraId="10000042" w14:textId="77777777" w:rsidR="001F2FFF" w:rsidRDefault="001F2FFF">
      <w:pPr>
        <w:rPr>
          <w:rFonts w:ascii="Cormorant Garamond" w:hAnsi="Cormorant Garamond" w:cs="Cormorant Garamond"/>
        </w:rPr>
      </w:pPr>
      <w:r>
        <w:rPr>
          <w:rFonts w:ascii="Cormorant Garamond" w:hAnsi="Cormorant Garamond" w:cs="Cormorant Garamond"/>
        </w:rPr>
        <w:t xml:space="preserve">A third pattern is the unowned question. A concern surfaces in a team conversation, everyone acknowledges it as important, and then weeks pass without movement. When it resurfaces, the </w:t>
      </w:r>
      <w:r>
        <w:rPr>
          <w:rFonts w:ascii="Cormorant Garamond" w:hAnsi="Cormorant Garamond" w:cs="Cormorant Garamond"/>
        </w:rPr>
        <w:lastRenderedPageBreak/>
        <w:t>conversation repeats. No one is avoiding the question intentionally. The absence of ownership is not negligence but the natural result of an organization that has not assigned resolution responsibility clearly. Over time, these unresolved questions accumulate into an invisible backlog that consumes relational energy and quietly erodes team confidence.</w:t>
      </w:r>
    </w:p>
    <w:p w14:paraId="10000043" w14:textId="77777777" w:rsidR="001F2FFF" w:rsidRDefault="001F2FFF">
      <w:pPr>
        <w:rPr>
          <w:rFonts w:ascii="Cormorant Garamond" w:hAnsi="Cormorant Garamond" w:cs="Cormorant Garamond"/>
        </w:rPr>
      </w:pPr>
      <w:r>
        <w:rPr>
          <w:rFonts w:ascii="Cormorant Garamond" w:hAnsi="Cormorant Garamond" w:cs="Cormorant Garamond"/>
        </w:rPr>
        <w:t>These patterns are worth recognizing not because recognizing them resolves them, but because organizations that cannot see a pattern cannot address it. Awareness is the necessary first step. What follows awareness, and how it is pursued within the specific context of each organization, is a separate and more involved conversation.</w:t>
      </w:r>
    </w:p>
    <w:p w14:paraId="10000044" w14:textId="77777777" w:rsidR="001F2FFF" w:rsidRDefault="001F2FFF">
      <w:pPr>
        <w:spacing w:after="0"/>
      </w:pPr>
    </w:p>
    <w:p w14:paraId="10000045"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Leadership Reflection — Examining Decision Flow</w:t>
      </w:r>
    </w:p>
    <w:p w14:paraId="10000046" w14:textId="77777777" w:rsidR="001F2FFF" w:rsidRDefault="001F2FFF">
      <w:pPr>
        <w:rPr>
          <w:rFonts w:ascii="Cormorant Garamond" w:hAnsi="Cormorant Garamond" w:cs="Cormorant Garamond"/>
        </w:rPr>
      </w:pPr>
      <w:r>
        <w:rPr>
          <w:rFonts w:ascii="Cormorant Garamond" w:hAnsi="Cormorant Garamond" w:cs="Cormorant Garamond"/>
        </w:rPr>
        <w:t>Consider how decisions currently move through your organization. Which decisions consistently rise to senior leadership regardless of scope. Where do delays most frequently occur. Are leaders serving as interpreters of uncertainty rather than guides of direction. These observations often reveal concentration patterns more clearly than workload analysis alone.</w:t>
      </w:r>
    </w:p>
    <w:p w14:paraId="10000047" w14:textId="77777777" w:rsidR="001F2FFF" w:rsidRDefault="001F2FFF">
      <w:pPr>
        <w:rPr>
          <w:rFonts w:ascii="Cormorant Garamond" w:hAnsi="Cormorant Garamond" w:cs="Cormorant Garamond"/>
        </w:rPr>
      </w:pPr>
      <w:r>
        <w:rPr>
          <w:rFonts w:ascii="Cormorant Garamond" w:hAnsi="Cormorant Garamond" w:cs="Cormorant Garamond"/>
        </w:rPr>
        <w:t>Reflection also includes examining the emotional experience of leadership. Do leaders feel constantly needed yet unable to focus deeply. Do teams wait for reassurance even when capable of acting. Does the work of leadership feel heavier than it once did, without a clear explanation for why. These patterns often indicate decision flow misalignment rather than individual hesitation or lack of effort.</w:t>
      </w:r>
    </w:p>
    <w:p w14:paraId="10000048" w14:textId="77777777" w:rsidR="001F2FFF" w:rsidRDefault="001F2FFF">
      <w:pPr>
        <w:rPr>
          <w:rFonts w:ascii="Cormorant Garamond" w:hAnsi="Cormorant Garamond" w:cs="Cormorant Garamond"/>
        </w:rPr>
      </w:pPr>
      <w:r>
        <w:rPr>
          <w:rFonts w:ascii="Cormorant Garamond" w:hAnsi="Cormorant Garamond" w:cs="Cormorant Garamond"/>
        </w:rPr>
        <w:t>A useful starting place is to trace a handful of recent decisions backward from resolution to origin. How many people were involved. How many conversations were required. How much time elapsed between the initial question and the final answer. What would have been different if the decision could have been resolved one step closer to where it originated. This kind of tracing is not about fault-finding. It is about developing an honest picture of how the organization’s decision pathways actually function in practice, as distinct from how they are assumed to function.</w:t>
      </w:r>
    </w:p>
    <w:p w14:paraId="10000049" w14:textId="77777777" w:rsidR="001F2FFF" w:rsidRDefault="001F2FFF">
      <w:pPr>
        <w:rPr>
          <w:rFonts w:ascii="Cormorant Garamond" w:hAnsi="Cormorant Garamond" w:cs="Cormorant Garamond"/>
        </w:rPr>
      </w:pPr>
      <w:r>
        <w:rPr>
          <w:rFonts w:ascii="Cormorant Garamond" w:hAnsi="Cormorant Garamond" w:cs="Cormorant Garamond"/>
        </w:rPr>
        <w:t>Leadership teams that engage in this kind of reflection often discover that the gap between their assumptions about decision flow and its actual behavior is larger than expected. This discovery is not a cause for discouragement. It is an invitation. Organizations that can see how decisions actually move are in a far stronger position to address what they find, though what that address looks like will differ significantly from one context to the next. That is precisely why outside perspective carries value at this stage.</w:t>
      </w:r>
    </w:p>
    <w:p w14:paraId="73D6F060" w14:textId="77777777" w:rsidR="002F478E" w:rsidRDefault="002F478E">
      <w:pPr>
        <w:rPr>
          <w:rFonts w:ascii="Cormorant Garamond" w:hAnsi="Cormorant Garamond" w:cs="Cormorant Garamond"/>
        </w:rPr>
      </w:pPr>
    </w:p>
    <w:p w14:paraId="10000050" w14:textId="77777777" w:rsidR="001F2FFF" w:rsidRDefault="001F2FFF">
      <w:pPr>
        <w:spacing w:after="0"/>
      </w:pPr>
    </w:p>
    <w:p w14:paraId="10000051" w14:textId="17D08C7D" w:rsidR="001F2FFF" w:rsidRDefault="001F2FFF">
      <w:pPr>
        <w:spacing w:before="240" w:after="80"/>
        <w:rPr>
          <w:rFonts w:ascii="Cinzel" w:hAnsi="Cinzel"/>
          <w:b/>
          <w:bCs/>
          <w:color w:val="20304F"/>
          <w:sz w:val="28"/>
          <w:szCs w:val="28"/>
        </w:rPr>
      </w:pPr>
      <w:r>
        <w:rPr>
          <w:rFonts w:ascii="Cinzel" w:hAnsi="Cinzel"/>
          <w:b/>
          <w:bCs/>
          <w:color w:val="20304F"/>
          <w:sz w:val="28"/>
          <w:szCs w:val="28"/>
        </w:rPr>
        <w:lastRenderedPageBreak/>
        <w:t>Protecting Clarity Before Constraint</w:t>
      </w:r>
    </w:p>
    <w:p w14:paraId="10000052" w14:textId="77777777" w:rsidR="001F2FFF" w:rsidRDefault="001F2FFF">
      <w:pPr>
        <w:rPr>
          <w:rFonts w:ascii="Cormorant Garamond" w:hAnsi="Cormorant Garamond" w:cs="Cormorant Garamond"/>
        </w:rPr>
      </w:pPr>
      <w:r>
        <w:rPr>
          <w:rFonts w:ascii="Cormorant Garamond" w:hAnsi="Cormorant Garamond" w:cs="Cormorant Garamond"/>
        </w:rPr>
        <w:t>Decision bottlenecks rarely signal organizational weakness. More often, they reveal growth that has outpaced structural clarity. Recognizing threshold signals allows leaders to acknowledge what is happening before fatigue reaches a level that limits effectiveness or shapes culture in ways that are difficult to reverse.</w:t>
      </w:r>
    </w:p>
    <w:p w14:paraId="10000053" w14:textId="77777777" w:rsidR="001F2FFF" w:rsidRDefault="001F2FFF">
      <w:pPr>
        <w:rPr>
          <w:rFonts w:ascii="Cormorant Garamond" w:hAnsi="Cormorant Garamond" w:cs="Cormorant Garamond"/>
        </w:rPr>
      </w:pPr>
      <w:r>
        <w:rPr>
          <w:rFonts w:ascii="Cormorant Garamond" w:hAnsi="Cormorant Garamond" w:cs="Cormorant Garamond"/>
        </w:rPr>
        <w:t>There is a meaningful difference between organizations that encounter these patterns reactively, after frustration has accumulated and structural dysfunction has become entrenched, and those that encounter them proactively, while the organization still has the margin and goodwill to engage them honestly. The proactive path requires attentiveness and a willingness to examine how the organization actually functions, not merely how it is assumed to function. That examination is rarely comfortable to begin alone.</w:t>
      </w:r>
    </w:p>
    <w:p w14:paraId="10000054" w14:textId="77777777" w:rsidR="001F2FFF" w:rsidRDefault="001F2FFF">
      <w:pPr>
        <w:rPr>
          <w:rFonts w:ascii="Cormorant Garamond" w:hAnsi="Cormorant Garamond" w:cs="Cormorant Garamond"/>
        </w:rPr>
      </w:pPr>
      <w:r>
        <w:rPr>
          <w:rFonts w:ascii="Cormorant Garamond" w:hAnsi="Cormorant Garamond" w:cs="Cormorant Garamond"/>
        </w:rPr>
        <w:t>The patterns described in this module are not ones that yield to general advice. They are shaped by the specific history, culture, relationships, and season of each organization. What looks like a decision bottleneck in one context may carry entirely different roots in another. Addressing them well requires the kind of attention that can only happen within the particular reality of a given team, not from the outside looking in at categories.</w:t>
      </w:r>
    </w:p>
    <w:p w14:paraId="10000055" w14:textId="77777777" w:rsidR="001F2FFF" w:rsidRDefault="001F2FFF">
      <w:pPr>
        <w:spacing w:after="0"/>
        <w:rPr>
          <w:rFonts w:ascii="Cormorant Garamond" w:eastAsia="Times New Roman" w:hAnsi="Cormorant Garamond" w:cs="Cormorant Garamond"/>
          <w:i/>
          <w:iCs/>
          <w:color w:val="4E5E72"/>
        </w:rPr>
      </w:pPr>
      <w:r>
        <w:rPr>
          <w:rFonts w:ascii="Cormorant Garamond" w:eastAsia="Times New Roman" w:hAnsi="Cormorant Garamond" w:cs="Cormorant Garamond"/>
          <w:i/>
          <w:iCs/>
          <w:color w:val="4E5E72"/>
        </w:rPr>
        <w:t>Scripture connects organizational peace not with the absence of complexity but with the presence of order. That order is not an end in itself. It is what creates the conditions for faithful people to serve without unnecessary strain, and for leaders to lead with clarity rather than exhaustion.</w:t>
      </w:r>
    </w:p>
    <w:p w14:paraId="10000056"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“For God is not a God of disorder but of peace.” — 1 Corinthians 14:33 (NLT)</w:t>
      </w:r>
    </w:p>
    <w:p w14:paraId="10000057" w14:textId="77777777" w:rsidR="001F2FFF" w:rsidRDefault="001F2FFF">
      <w:pPr>
        <w:spacing w:after="0"/>
        <w:rPr>
          <w:rFonts w:ascii="Cormorant Garamond" w:eastAsia="Times New Roman" w:hAnsi="Cormorant Garamond" w:cs="Cormorant Garamond"/>
          <w:i/>
          <w:iCs/>
          <w:color w:val="22304A"/>
        </w:rPr>
      </w:pPr>
      <w:r>
        <w:rPr>
          <w:rFonts w:ascii="Cormorant Garamond" w:eastAsia="Times New Roman" w:hAnsi="Cormorant Garamond" w:cs="Cormorant Garamond"/>
          <w:i/>
          <w:iCs/>
          <w:color w:val="22304A"/>
        </w:rPr>
        <w:t>Peace in leadership environments often emerges through clarity of responsibility and decision flow. When authority and trust align, organizations move forward with steadiness rather than strain. Kingdom Planning Leadership Clarity Conversations help leadership teams interpret these patterns within their unique ministry context. The goal is not external direction but shared understanding that preserves sustainable leadership over time.</w:t>
      </w:r>
    </w:p>
    <w:p w14:paraId="10000058" w14:textId="77777777" w:rsidR="001F2FFF" w:rsidRDefault="001F2FFF">
      <w:pPr>
        <w:spacing w:after="0"/>
      </w:pPr>
    </w:p>
    <w:p w14:paraId="04F91A9E" w14:textId="13332FA3" w:rsidR="001F2FFF" w:rsidRPr="001F2FFF" w:rsidRDefault="001F2FFF" w:rsidP="001F2FFF">
      <w:r>
        <w:t xml:space="preserve"> </w:t>
      </w:r>
    </w:p>
    <w:p w14:paraId="43B1288A" w14:textId="77777777" w:rsidR="007569AA" w:rsidRDefault="007569AA"/>
    <w:sectPr w:rsidR="007569AA" w:rsidSect="006C55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A065" w14:textId="77777777" w:rsidR="001F2FFF" w:rsidRDefault="001F2FFF" w:rsidP="001F2FFF">
      <w:pPr>
        <w:spacing w:after="0" w:line="240" w:lineRule="auto"/>
      </w:pPr>
      <w:r>
        <w:separator/>
      </w:r>
    </w:p>
  </w:endnote>
  <w:endnote w:type="continuationSeparator" w:id="0">
    <w:p w14:paraId="50223375" w14:textId="77777777" w:rsidR="001F2FFF" w:rsidRDefault="001F2FFF" w:rsidP="001F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inzel">
    <w:panose1 w:val="00000000000000000000"/>
    <w:charset w:val="4D"/>
    <w:family w:val="auto"/>
    <w:pitch w:val="variable"/>
    <w:sig w:usb0="A00000EF" w:usb1="4000204B" w:usb2="00000000" w:usb3="00000000" w:csb0="00000093" w:csb1="00000000"/>
  </w:font>
  <w:font w:name="Cormorant Garamond">
    <w:panose1 w:val="00000000000000000000"/>
    <w:charset w:val="4D"/>
    <w:family w:val="auto"/>
    <w:pitch w:val="variable"/>
    <w:sig w:usb0="A10002FF" w:usb1="0001E07B" w:usb2="00000028"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72AB" w14:textId="77777777" w:rsidR="001F2FFF" w:rsidRDefault="001F2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BD50" w14:textId="77777777" w:rsidR="001F2FFF" w:rsidRDefault="001F2F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067A" w14:textId="77777777" w:rsidR="001F2FFF" w:rsidRDefault="001F2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309F" w14:textId="77777777" w:rsidR="001F2FFF" w:rsidRDefault="001F2FFF" w:rsidP="001F2FFF">
      <w:pPr>
        <w:spacing w:after="0" w:line="240" w:lineRule="auto"/>
      </w:pPr>
      <w:r>
        <w:separator/>
      </w:r>
    </w:p>
  </w:footnote>
  <w:footnote w:type="continuationSeparator" w:id="0">
    <w:p w14:paraId="76252E18" w14:textId="77777777" w:rsidR="001F2FFF" w:rsidRDefault="001F2FFF" w:rsidP="001F2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E2C3" w14:textId="77777777" w:rsidR="001F2FFF" w:rsidRDefault="001F2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9CE4" w14:textId="77777777" w:rsidR="001F2FFF" w:rsidRPr="00AB0BB5" w:rsidRDefault="001F2FFF" w:rsidP="001F2FFF">
    <w:pPr>
      <w:pStyle w:val="Header"/>
      <w:rPr>
        <w:rFonts w:ascii="Cinzel" w:hAnsi="Cinzel"/>
        <w:sz w:val="20"/>
        <w:szCs w:val="20"/>
      </w:rPr>
    </w:pPr>
    <w:hyperlink r:id="rId1" w:history="1">
      <w:r w:rsidRPr="00AB0BB5">
        <w:rPr>
          <w:rStyle w:val="Hyperlink"/>
          <w:rFonts w:ascii="Cinzel" w:hAnsi="Cinzel"/>
          <w:sz w:val="20"/>
          <w:szCs w:val="20"/>
        </w:rPr>
        <w:t>www.kingdomplanning.org</w:t>
      </w:r>
    </w:hyperlink>
  </w:p>
  <w:p w14:paraId="06D0A55B" w14:textId="77777777" w:rsidR="001F2FFF" w:rsidRPr="00AB0BB5" w:rsidRDefault="001F2FFF" w:rsidP="001F2FFF">
    <w:pPr>
      <w:pStyle w:val="Header"/>
      <w:rPr>
        <w:rFonts w:ascii="Cinzel" w:hAnsi="Cinzel"/>
        <w:sz w:val="20"/>
        <w:szCs w:val="20"/>
      </w:rPr>
    </w:pPr>
    <w:r w:rsidRPr="00AB0BB5">
      <w:rPr>
        <w:rFonts w:ascii="Cinzel" w:hAnsi="Cinzel"/>
        <w:sz w:val="20"/>
        <w:szCs w:val="20"/>
      </w:rPr>
      <w:t>Phone: 724-605-6277</w:t>
    </w:r>
  </w:p>
  <w:p w14:paraId="3A83F067" w14:textId="31CA4E96" w:rsidR="001F2FFF" w:rsidRPr="001F2FFF" w:rsidRDefault="001F2FFF">
    <w:pPr>
      <w:pStyle w:val="Header"/>
      <w:rPr>
        <w:rFonts w:ascii="Cinzel" w:hAnsi="Cinzel"/>
        <w:sz w:val="20"/>
        <w:szCs w:val="20"/>
      </w:rPr>
    </w:pPr>
    <w:r w:rsidRPr="00AB0BB5">
      <w:rPr>
        <w:rFonts w:ascii="Cinzel" w:hAnsi="Cinzel"/>
        <w:sz w:val="20"/>
        <w:szCs w:val="20"/>
      </w:rPr>
      <w:t>Email: UpdegraffJ@kingdomplanning.org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7AFB" w14:textId="77777777" w:rsidR="001F2FFF" w:rsidRDefault="001F2F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FF"/>
    <w:rsid w:val="00117268"/>
    <w:rsid w:val="001F2FFF"/>
    <w:rsid w:val="002F478E"/>
    <w:rsid w:val="00641247"/>
    <w:rsid w:val="006C5502"/>
    <w:rsid w:val="00732751"/>
    <w:rsid w:val="007569AA"/>
    <w:rsid w:val="00766517"/>
    <w:rsid w:val="007779D4"/>
    <w:rsid w:val="00943A57"/>
    <w:rsid w:val="009E1CE0"/>
    <w:rsid w:val="00A9437F"/>
    <w:rsid w:val="00C04487"/>
    <w:rsid w:val="00CA77C2"/>
    <w:rsid w:val="00F95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CDD4"/>
  <w14:defaultImageDpi w14:val="32767"/>
  <w15:chartTrackingRefBased/>
  <w15:docId w15:val="{D1F406C6-709F-144D-BF49-153CC024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F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F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F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F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F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F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F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F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F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F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F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F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F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F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F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FFF"/>
    <w:rPr>
      <w:rFonts w:eastAsiaTheme="majorEastAsia" w:cstheme="majorBidi"/>
      <w:color w:val="272727" w:themeColor="text1" w:themeTint="D8"/>
    </w:rPr>
  </w:style>
  <w:style w:type="paragraph" w:styleId="Title">
    <w:name w:val="Title"/>
    <w:basedOn w:val="Normal"/>
    <w:next w:val="Normal"/>
    <w:link w:val="TitleChar"/>
    <w:uiPriority w:val="10"/>
    <w:qFormat/>
    <w:rsid w:val="001F2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F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F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F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FFF"/>
    <w:pPr>
      <w:spacing w:before="160"/>
      <w:jc w:val="center"/>
    </w:pPr>
    <w:rPr>
      <w:i/>
      <w:iCs/>
      <w:color w:val="404040" w:themeColor="text1" w:themeTint="BF"/>
    </w:rPr>
  </w:style>
  <w:style w:type="character" w:customStyle="1" w:styleId="QuoteChar">
    <w:name w:val="Quote Char"/>
    <w:basedOn w:val="DefaultParagraphFont"/>
    <w:link w:val="Quote"/>
    <w:uiPriority w:val="29"/>
    <w:rsid w:val="001F2FFF"/>
    <w:rPr>
      <w:i/>
      <w:iCs/>
      <w:color w:val="404040" w:themeColor="text1" w:themeTint="BF"/>
    </w:rPr>
  </w:style>
  <w:style w:type="paragraph" w:styleId="ListParagraph">
    <w:name w:val="List Paragraph"/>
    <w:basedOn w:val="Normal"/>
    <w:uiPriority w:val="34"/>
    <w:qFormat/>
    <w:rsid w:val="001F2FFF"/>
    <w:pPr>
      <w:ind w:left="720"/>
      <w:contextualSpacing/>
    </w:pPr>
  </w:style>
  <w:style w:type="character" w:styleId="IntenseEmphasis">
    <w:name w:val="Intense Emphasis"/>
    <w:basedOn w:val="DefaultParagraphFont"/>
    <w:uiPriority w:val="21"/>
    <w:qFormat/>
    <w:rsid w:val="001F2FFF"/>
    <w:rPr>
      <w:i/>
      <w:iCs/>
      <w:color w:val="0F4761" w:themeColor="accent1" w:themeShade="BF"/>
    </w:rPr>
  </w:style>
  <w:style w:type="paragraph" w:styleId="IntenseQuote">
    <w:name w:val="Intense Quote"/>
    <w:basedOn w:val="Normal"/>
    <w:next w:val="Normal"/>
    <w:link w:val="IntenseQuoteChar"/>
    <w:uiPriority w:val="30"/>
    <w:qFormat/>
    <w:rsid w:val="001F2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FFF"/>
    <w:rPr>
      <w:i/>
      <w:iCs/>
      <w:color w:val="0F4761" w:themeColor="accent1" w:themeShade="BF"/>
    </w:rPr>
  </w:style>
  <w:style w:type="character" w:styleId="IntenseReference">
    <w:name w:val="Intense Reference"/>
    <w:basedOn w:val="DefaultParagraphFont"/>
    <w:uiPriority w:val="32"/>
    <w:qFormat/>
    <w:rsid w:val="001F2FFF"/>
    <w:rPr>
      <w:b/>
      <w:bCs/>
      <w:smallCaps/>
      <w:color w:val="0F4761" w:themeColor="accent1" w:themeShade="BF"/>
      <w:spacing w:val="5"/>
    </w:rPr>
  </w:style>
  <w:style w:type="paragraph" w:styleId="NormalWeb">
    <w:name w:val="Normal (Web)"/>
    <w:basedOn w:val="Normal"/>
    <w:uiPriority w:val="99"/>
    <w:semiHidden/>
    <w:unhideWhenUsed/>
    <w:rsid w:val="001F2FF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F2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FFF"/>
  </w:style>
  <w:style w:type="paragraph" w:styleId="Footer">
    <w:name w:val="footer"/>
    <w:basedOn w:val="Normal"/>
    <w:link w:val="FooterChar"/>
    <w:uiPriority w:val="99"/>
    <w:unhideWhenUsed/>
    <w:rsid w:val="001F2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FFF"/>
  </w:style>
  <w:style w:type="character" w:styleId="Hyperlink">
    <w:name w:val="Hyperlink"/>
    <w:basedOn w:val="DefaultParagraphFont"/>
    <w:uiPriority w:val="99"/>
    <w:unhideWhenUsed/>
    <w:rsid w:val="001F2F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kingdomplan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2486</Words>
  <Characters>14845</Characters>
  <Application>Microsoft Office Word</Application>
  <DocSecurity>0</DocSecurity>
  <Lines>215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Updegraff</dc:creator>
  <cp:keywords/>
  <dc:description/>
  <cp:lastModifiedBy>Joshua Updegraff</cp:lastModifiedBy>
  <cp:revision>2</cp:revision>
  <dcterms:created xsi:type="dcterms:W3CDTF">2026-02-26T13:50:00Z</dcterms:created>
  <dcterms:modified xsi:type="dcterms:W3CDTF">2026-02-26T13:50:00Z</dcterms:modified>
</cp:coreProperties>
</file>