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2" w:before="0"/>
      </w:pPr>
      <w:r>
        <w:rPr>
          <w:rFonts w:ascii="Cinzel" w:cs="Cinzel" w:eastAsia="Cinzel" w:hAnsi="Cinzel"/>
          <w:b/>
          <w:bCs/>
          <w:color w:val="DB931D"/>
          <w:sz w:val="20"/>
          <w:szCs w:val="20"/>
        </w:rPr>
        <w:t xml:space="preserve">KINGDOM PLANNING</w:t>
      </w:r>
    </w:p>
    <w:p>
      <w:pPr>
        <w:spacing w:after="30" w:before="0"/>
      </w:pPr>
      <w:r>
        <w:rPr>
          <w:rFonts w:ascii="Cinzel" w:cs="Cinzel" w:eastAsia="Cinzel" w:hAnsi="Cinzel"/>
          <w:b/>
          <w:bCs/>
          <w:color w:val="022D4C"/>
          <w:sz w:val="38"/>
          <w:szCs w:val="38"/>
        </w:rPr>
        <w:t xml:space="preserve">WHY SMART LEADERS</w:t>
      </w:r>
    </w:p>
    <w:p>
      <w:pPr>
        <w:spacing w:after="55" w:before="0"/>
      </w:pPr>
      <w:r>
        <w:rPr>
          <w:rFonts w:ascii="Cinzel" w:cs="Cinzel" w:eastAsia="Cinzel" w:hAnsi="Cinzel"/>
          <w:b/>
          <w:bCs/>
          <w:color w:val="022D4C"/>
          <w:sz w:val="38"/>
          <w:szCs w:val="38"/>
        </w:rPr>
        <w:t xml:space="preserve">STILL MAKE BAD DECISIONS</w:t>
      </w:r>
    </w:p>
    <w:p>
      <w:pPr>
        <w:spacing w:after="0" w:before="0"/>
      </w:pPr>
      <w:r>
        <w:rPr>
          <w:rFonts w:ascii="Cormorant Garamond" w:cs="Cormorant Garamond" w:eastAsia="Cormorant Garamond" w:hAnsi="Cormorant Garamond"/>
          <w:i/>
          <w:iCs/>
          <w:color w:val="022D4C"/>
          <w:sz w:val="18"/>
          <w:szCs w:val="18"/>
        </w:rPr>
        <w:t xml:space="preserve">The problem is rarely intelligence. It's the five patterns that close in before a significant decision — and go undetected precisely because they feel like confidence.</w:t>
      </w:r>
    </w:p>
    <w:p>
      <w:pPr>
        <w:pBdr>
          <w:bottom w:val="single" w:color="DB931D" w:sz="10"/>
        </w:pBdr>
        <w:spacing w:after="60" w:before="68"/>
      </w:pPr>
    </w:p>
    <w:tbl>
      <w:tblPr>
        <w:tblW w:type="dxa" w:w="9540"/>
        <w:tblBorders>
          <w:top w:val="none"/>
          <w:left w:val="none"/>
          <w:bottom w:val="none"/>
          <w:right w:val="none"/>
          <w:insideH w:val="single" w:color="auto" w:sz="4"/>
          <w:insideV w:val="single" w:color="auto" w:sz="4"/>
        </w:tblBorders>
      </w:tblPr>
      <w:tblGrid>
        <w:gridCol w:w="700"/>
        <w:gridCol w:w="7440"/>
        <w:gridCol w:w="1400"/>
      </w:tblGrid>
      <w:tr>
        <w:tc>
          <w:tcPr>
            <w:tcW w:type="dxa" w:w="700"/>
            <w:tcBorders>
              <w:top w:val="none"/>
              <w:left w:val="none"/>
              <w:bottom w:val="none"/>
              <w:right w:val="none"/>
            </w:tcBorders>
            <w:shd w:fill="DB931D" w:val="clear"/>
            <w:tcMar>
              <w:top w:type="dxa" w:w="120"/>
              <w:left w:type="dxa" w:w="80"/>
              <w:bottom w:type="dxa" w:w="120"/>
              <w:right w:type="dxa" w:w="60"/>
            </w:tcMar>
            <w:vAlign w:val="top"/>
          </w:tcPr>
          <w:p>
            <w:pPr>
              <w:jc w:val="center"/>
            </w:pPr>
            <w:r>
              <w:rPr>
                <w:rFonts w:ascii="Cinzel" w:cs="Cinzel" w:eastAsia="Cinzel" w:hAnsi="Cinzel"/>
                <w:b/>
                <w:bCs/>
                <w:color w:val="022D4C"/>
                <w:sz w:val="34"/>
                <w:szCs w:val="34"/>
              </w:rPr>
              <w:t xml:space="preserve">1</w:t>
            </w:r>
          </w:p>
        </w:tc>
        <w:tc>
          <w:tcPr>
            <w:tcW w:type="dxa" w:w="7440"/>
            <w:tcBorders>
              <w:top w:val="none"/>
              <w:left w:val="none"/>
              <w:bottom w:val="none"/>
              <w:right w:val="none"/>
            </w:tcBorders>
            <w:shd w:fill="FFFFFF" w:val="clear"/>
            <w:tcMar>
              <w:top w:type="dxa" w:w="120"/>
              <w:left w:type="dxa" w:w="130"/>
              <w:bottom w:type="dxa" w:w="120"/>
              <w:right w:type="dxa" w:w="80"/>
            </w:tcMar>
            <w:vAlign w:val="top"/>
          </w:tcPr>
          <w:p>
            <w:pPr>
              <w:spacing w:after="35" w:before="0"/>
            </w:pPr>
            <w:r>
              <w:rPr>
                <w:rFonts w:ascii="Cinzel" w:cs="Cinzel" w:eastAsia="Cinzel" w:hAnsi="Cinzel"/>
                <w:b/>
                <w:bCs/>
                <w:color w:val="022D4C"/>
                <w:sz w:val="21"/>
                <w:szCs w:val="21"/>
              </w:rPr>
              <w:t xml:space="preserve">Urgency Creates Tunnel Vision</w:t>
            </w:r>
          </w:p>
          <w:p>
            <w:pPr>
              <w:spacing w:after="0" w:before="0"/>
            </w:pPr>
            <w:r>
              <w:rPr>
                <w:rFonts w:ascii="Cormorant Garamond" w:cs="Cormorant Garamond" w:eastAsia="Cormorant Garamond" w:hAnsi="Cormorant Garamond"/>
                <w:color w:val="022D4C"/>
                <w:sz w:val="18"/>
                <w:szCs w:val="18"/>
              </w:rPr>
              <w:t xml:space="preserve">When a decision feels time-sensitive, the brain narrows its options instead of widening them. Leaders start choosing between A and B when C was actually the right answer. The pressure to decide becomes the primary driver, and the quality of the decision becomes secondary.</w:t>
            </w:r>
          </w:p>
        </w:tc>
        <w:tc>
          <w:tcPr>
            <w:tcW w:type="dxa" w:w="1400"/>
            <w:tcBorders>
              <w:top w:val="none"/>
              <w:left w:val="none"/>
              <w:bottom w:val="none"/>
              <w:right w:val="none"/>
            </w:tcBorders>
            <w:shd w:fill="D6E2EC" w:val="clear"/>
            <w:tcMar>
              <w:top w:type="dxa" w:w="120"/>
              <w:left w:type="dxa" w:w="80"/>
              <w:bottom w:type="dxa" w:w="120"/>
              <w:right w:type="dxa" w:w="80"/>
            </w:tcMar>
            <w:vAlign w:val="top"/>
          </w:tcPr>
          <w:p>
            <w:pPr>
              <w:spacing w:after="28" w:before="0"/>
            </w:pPr>
            <w:r>
              <w:rPr>
                <w:rFonts w:ascii="Cinzel" w:cs="Cinzel" w:eastAsia="Cinzel" w:hAnsi="Cinzel"/>
                <w:b/>
                <w:bCs/>
                <w:color w:val="022D4C"/>
                <w:sz w:val="13"/>
                <w:szCs w:val="13"/>
              </w:rPr>
              <w:t xml:space="preserve">ASK INSTEAD</w:t>
            </w:r>
          </w:p>
          <w:p>
            <w:pPr>
              <w:spacing w:after="0" w:before="0"/>
            </w:pPr>
            <w:r>
              <w:rPr>
                <w:rFonts w:ascii="Cormorant Garamond" w:cs="Cormorant Garamond" w:eastAsia="Cormorant Garamond" w:hAnsi="Cormorant Garamond"/>
                <w:i/>
                <w:iCs/>
                <w:color w:val="022D4C"/>
                <w:sz w:val="16"/>
                <w:szCs w:val="16"/>
              </w:rPr>
              <w:t xml:space="preserve">What would we decide if we had two more weeks?</w:t>
            </w:r>
          </w:p>
        </w:tc>
      </w:tr>
      <w:tr>
        <w:tc>
          <w:tcPr>
            <w:tcW w:type="dxa" w:w="700"/>
            <w:tcBorders>
              <w:top w:val="none"/>
              <w:left w:val="none"/>
              <w:bottom w:val="none"/>
              <w:right w:val="none"/>
            </w:tcBorders>
            <w:shd w:fill="022D4C" w:val="clear"/>
            <w:tcMar>
              <w:top w:type="dxa" w:w="120"/>
              <w:left w:type="dxa" w:w="80"/>
              <w:bottom w:type="dxa" w:w="120"/>
              <w:right w:type="dxa" w:w="60"/>
            </w:tcMar>
            <w:vAlign w:val="top"/>
          </w:tcPr>
          <w:p>
            <w:pPr>
              <w:jc w:val="center"/>
            </w:pPr>
            <w:r>
              <w:rPr>
                <w:rFonts w:ascii="Cinzel" w:cs="Cinzel" w:eastAsia="Cinzel" w:hAnsi="Cinzel"/>
                <w:b/>
                <w:bCs/>
                <w:color w:val="DB931D"/>
                <w:sz w:val="34"/>
                <w:szCs w:val="34"/>
              </w:rPr>
              <w:t xml:space="preserve">2</w:t>
            </w:r>
          </w:p>
        </w:tc>
        <w:tc>
          <w:tcPr>
            <w:tcW w:type="dxa" w:w="7440"/>
            <w:tcBorders>
              <w:top w:val="none"/>
              <w:left w:val="none"/>
              <w:bottom w:val="none"/>
              <w:right w:val="none"/>
            </w:tcBorders>
            <w:shd w:fill="EFF4F8" w:val="clear"/>
            <w:tcMar>
              <w:top w:type="dxa" w:w="120"/>
              <w:left w:type="dxa" w:w="130"/>
              <w:bottom w:type="dxa" w:w="120"/>
              <w:right w:type="dxa" w:w="80"/>
            </w:tcMar>
            <w:vAlign w:val="top"/>
          </w:tcPr>
          <w:p>
            <w:pPr>
              <w:spacing w:after="35" w:before="0"/>
            </w:pPr>
            <w:r>
              <w:rPr>
                <w:rFonts w:ascii="Cinzel" w:cs="Cinzel" w:eastAsia="Cinzel" w:hAnsi="Cinzel"/>
                <w:b/>
                <w:bCs/>
                <w:color w:val="022D4C"/>
                <w:sz w:val="21"/>
                <w:szCs w:val="21"/>
              </w:rPr>
              <w:t xml:space="preserve">Success Creates Overconfidence</w:t>
            </w:r>
          </w:p>
          <w:p>
            <w:pPr>
              <w:spacing w:after="0" w:before="0"/>
            </w:pPr>
            <w:r>
              <w:rPr>
                <w:rFonts w:ascii="Cormorant Garamond" w:cs="Cormorant Garamond" w:eastAsia="Cormorant Garamond" w:hAnsi="Cormorant Garamond"/>
                <w:color w:val="022D4C"/>
                <w:sz w:val="18"/>
                <w:szCs w:val="18"/>
              </w:rPr>
              <w:t xml:space="preserve">The last three decisions worked. That's precisely when leaders stop asking hard questions — because the track record has started doing the thinking for them. A strong run of good outcomes is not evidence that the current decision is sound. It's evidence that scrutiny has gone soft.</w:t>
            </w:r>
          </w:p>
        </w:tc>
        <w:tc>
          <w:tcPr>
            <w:tcW w:type="dxa" w:w="1400"/>
            <w:tcBorders>
              <w:top w:val="none"/>
              <w:left w:val="none"/>
              <w:bottom w:val="none"/>
              <w:right w:val="none"/>
            </w:tcBorders>
            <w:shd w:fill="D6E2EC" w:val="clear"/>
            <w:tcMar>
              <w:top w:type="dxa" w:w="120"/>
              <w:left w:type="dxa" w:w="80"/>
              <w:bottom w:type="dxa" w:w="120"/>
              <w:right w:type="dxa" w:w="80"/>
            </w:tcMar>
            <w:vAlign w:val="top"/>
          </w:tcPr>
          <w:p>
            <w:pPr>
              <w:spacing w:after="28" w:before="0"/>
            </w:pPr>
            <w:r>
              <w:rPr>
                <w:rFonts w:ascii="Cinzel" w:cs="Cinzel" w:eastAsia="Cinzel" w:hAnsi="Cinzel"/>
                <w:b/>
                <w:bCs/>
                <w:color w:val="022D4C"/>
                <w:sz w:val="13"/>
                <w:szCs w:val="13"/>
              </w:rPr>
              <w:t xml:space="preserve">ASK INSTEAD</w:t>
            </w:r>
          </w:p>
          <w:p>
            <w:pPr>
              <w:spacing w:after="0" w:before="0"/>
            </w:pPr>
            <w:r>
              <w:rPr>
                <w:rFonts w:ascii="Cormorant Garamond" w:cs="Cormorant Garamond" w:eastAsia="Cormorant Garamond" w:hAnsi="Cormorant Garamond"/>
                <w:i/>
                <w:iCs/>
                <w:color w:val="022D4C"/>
                <w:sz w:val="16"/>
                <w:szCs w:val="16"/>
              </w:rPr>
              <w:t xml:space="preserve">What would a skeptic find wrong with this?</w:t>
            </w:r>
          </w:p>
        </w:tc>
      </w:tr>
      <w:tr>
        <w:tc>
          <w:tcPr>
            <w:tcW w:type="dxa" w:w="700"/>
            <w:tcBorders>
              <w:top w:val="none"/>
              <w:left w:val="none"/>
              <w:bottom w:val="none"/>
              <w:right w:val="none"/>
            </w:tcBorders>
            <w:shd w:fill="DB931D" w:val="clear"/>
            <w:tcMar>
              <w:top w:type="dxa" w:w="120"/>
              <w:left w:type="dxa" w:w="80"/>
              <w:bottom w:type="dxa" w:w="120"/>
              <w:right w:type="dxa" w:w="60"/>
            </w:tcMar>
            <w:vAlign w:val="top"/>
          </w:tcPr>
          <w:p>
            <w:pPr>
              <w:jc w:val="center"/>
            </w:pPr>
            <w:r>
              <w:rPr>
                <w:rFonts w:ascii="Cinzel" w:cs="Cinzel" w:eastAsia="Cinzel" w:hAnsi="Cinzel"/>
                <w:b/>
                <w:bCs/>
                <w:color w:val="022D4C"/>
                <w:sz w:val="34"/>
                <w:szCs w:val="34"/>
              </w:rPr>
              <w:t xml:space="preserve">3</w:t>
            </w:r>
          </w:p>
        </w:tc>
        <w:tc>
          <w:tcPr>
            <w:tcW w:type="dxa" w:w="7440"/>
            <w:tcBorders>
              <w:top w:val="none"/>
              <w:left w:val="none"/>
              <w:bottom w:val="none"/>
              <w:right w:val="none"/>
            </w:tcBorders>
            <w:shd w:fill="FFFFFF" w:val="clear"/>
            <w:tcMar>
              <w:top w:type="dxa" w:w="120"/>
              <w:left w:type="dxa" w:w="130"/>
              <w:bottom w:type="dxa" w:w="120"/>
              <w:right w:type="dxa" w:w="80"/>
            </w:tcMar>
            <w:vAlign w:val="top"/>
          </w:tcPr>
          <w:p>
            <w:pPr>
              <w:spacing w:after="35" w:before="0"/>
            </w:pPr>
            <w:r>
              <w:rPr>
                <w:rFonts w:ascii="Cinzel" w:cs="Cinzel" w:eastAsia="Cinzel" w:hAnsi="Cinzel"/>
                <w:b/>
                <w:bCs/>
                <w:color w:val="022D4C"/>
                <w:sz w:val="21"/>
                <w:szCs w:val="21"/>
              </w:rPr>
              <w:t xml:space="preserve">Familiarity Hides Risk</w:t>
            </w:r>
          </w:p>
          <w:p>
            <w:pPr>
              <w:spacing w:after="0" w:before="0"/>
            </w:pPr>
            <w:r>
              <w:rPr>
                <w:rFonts w:ascii="Cormorant Garamond" w:cs="Cormorant Garamond" w:eastAsia="Cormorant Garamond" w:hAnsi="Cormorant Garamond"/>
                <w:color w:val="022D4C"/>
                <w:sz w:val="18"/>
                <w:szCs w:val="18"/>
              </w:rPr>
              <w:t xml:space="preserve">The tenth time you've done something similar, it stops feeling like a decision and starts feeling like a formality. That's when the details get skipped — not out of carelessness, but out of earned confidence in a pattern that may not apply this time.</w:t>
            </w:r>
          </w:p>
        </w:tc>
        <w:tc>
          <w:tcPr>
            <w:tcW w:type="dxa" w:w="1400"/>
            <w:tcBorders>
              <w:top w:val="none"/>
              <w:left w:val="none"/>
              <w:bottom w:val="none"/>
              <w:right w:val="none"/>
            </w:tcBorders>
            <w:shd w:fill="D6E2EC" w:val="clear"/>
            <w:tcMar>
              <w:top w:type="dxa" w:w="120"/>
              <w:left w:type="dxa" w:w="80"/>
              <w:bottom w:type="dxa" w:w="120"/>
              <w:right w:type="dxa" w:w="80"/>
            </w:tcMar>
            <w:vAlign w:val="top"/>
          </w:tcPr>
          <w:p>
            <w:pPr>
              <w:spacing w:after="28" w:before="0"/>
            </w:pPr>
            <w:r>
              <w:rPr>
                <w:rFonts w:ascii="Cinzel" w:cs="Cinzel" w:eastAsia="Cinzel" w:hAnsi="Cinzel"/>
                <w:b/>
                <w:bCs/>
                <w:color w:val="022D4C"/>
                <w:sz w:val="13"/>
                <w:szCs w:val="13"/>
              </w:rPr>
              <w:t xml:space="preserve">ASK INSTEAD</w:t>
            </w:r>
          </w:p>
          <w:p>
            <w:pPr>
              <w:spacing w:after="0" w:before="0"/>
            </w:pPr>
            <w:r>
              <w:rPr>
                <w:rFonts w:ascii="Cormorant Garamond" w:cs="Cormorant Garamond" w:eastAsia="Cormorant Garamond" w:hAnsi="Cormorant Garamond"/>
                <w:i/>
                <w:iCs/>
                <w:color w:val="022D4C"/>
                <w:sz w:val="16"/>
                <w:szCs w:val="16"/>
              </w:rPr>
              <w:t xml:space="preserve">What is different about this situation specifically?</w:t>
            </w:r>
          </w:p>
        </w:tc>
      </w:tr>
      <w:tr>
        <w:tc>
          <w:tcPr>
            <w:tcW w:type="dxa" w:w="700"/>
            <w:tcBorders>
              <w:top w:val="none"/>
              <w:left w:val="none"/>
              <w:bottom w:val="none"/>
              <w:right w:val="none"/>
            </w:tcBorders>
            <w:shd w:fill="022D4C" w:val="clear"/>
            <w:tcMar>
              <w:top w:type="dxa" w:w="120"/>
              <w:left w:type="dxa" w:w="80"/>
              <w:bottom w:type="dxa" w:w="120"/>
              <w:right w:type="dxa" w:w="60"/>
            </w:tcMar>
            <w:vAlign w:val="top"/>
          </w:tcPr>
          <w:p>
            <w:pPr>
              <w:jc w:val="center"/>
            </w:pPr>
            <w:r>
              <w:rPr>
                <w:rFonts w:ascii="Cinzel" w:cs="Cinzel" w:eastAsia="Cinzel" w:hAnsi="Cinzel"/>
                <w:b/>
                <w:bCs/>
                <w:color w:val="DB931D"/>
                <w:sz w:val="34"/>
                <w:szCs w:val="34"/>
              </w:rPr>
              <w:t xml:space="preserve">4</w:t>
            </w:r>
          </w:p>
        </w:tc>
        <w:tc>
          <w:tcPr>
            <w:tcW w:type="dxa" w:w="7440"/>
            <w:tcBorders>
              <w:top w:val="none"/>
              <w:left w:val="none"/>
              <w:bottom w:val="none"/>
              <w:right w:val="none"/>
            </w:tcBorders>
            <w:shd w:fill="EFF4F8" w:val="clear"/>
            <w:tcMar>
              <w:top w:type="dxa" w:w="120"/>
              <w:left w:type="dxa" w:w="130"/>
              <w:bottom w:type="dxa" w:w="120"/>
              <w:right w:type="dxa" w:w="80"/>
            </w:tcMar>
            <w:vAlign w:val="top"/>
          </w:tcPr>
          <w:p>
            <w:pPr>
              <w:spacing w:after="35" w:before="0"/>
            </w:pPr>
            <w:r>
              <w:rPr>
                <w:rFonts w:ascii="Cinzel" w:cs="Cinzel" w:eastAsia="Cinzel" w:hAnsi="Cinzel"/>
                <w:b/>
                <w:bCs/>
                <w:color w:val="022D4C"/>
                <w:sz w:val="21"/>
                <w:szCs w:val="21"/>
              </w:rPr>
              <w:t xml:space="preserve">Consensus Is Mistaken for Correctness</w:t>
            </w:r>
          </w:p>
          <w:p>
            <w:pPr>
              <w:spacing w:after="0" w:before="0"/>
            </w:pPr>
            <w:r>
              <w:rPr>
                <w:rFonts w:ascii="Cormorant Garamond" w:cs="Cormorant Garamond" w:eastAsia="Cormorant Garamond" w:hAnsi="Cormorant Garamond"/>
                <w:color w:val="022D4C"/>
                <w:sz w:val="18"/>
                <w:szCs w:val="18"/>
              </w:rPr>
              <w:t xml:space="preserve">If a leadership team walks into a room already aligned, that's often a sign no one did the work of disagreeing first. Consensus before the hard questions is not agreement — it's avoidance wearing the face of agreement. The most dangerous rooms are the ones where everyone nods.</w:t>
            </w:r>
          </w:p>
        </w:tc>
        <w:tc>
          <w:tcPr>
            <w:tcW w:type="dxa" w:w="1400"/>
            <w:tcBorders>
              <w:top w:val="none"/>
              <w:left w:val="none"/>
              <w:bottom w:val="none"/>
              <w:right w:val="none"/>
            </w:tcBorders>
            <w:shd w:fill="D6E2EC" w:val="clear"/>
            <w:tcMar>
              <w:top w:type="dxa" w:w="120"/>
              <w:left w:type="dxa" w:w="80"/>
              <w:bottom w:type="dxa" w:w="120"/>
              <w:right w:type="dxa" w:w="80"/>
            </w:tcMar>
            <w:vAlign w:val="top"/>
          </w:tcPr>
          <w:p>
            <w:pPr>
              <w:spacing w:after="28" w:before="0"/>
            </w:pPr>
            <w:r>
              <w:rPr>
                <w:rFonts w:ascii="Cinzel" w:cs="Cinzel" w:eastAsia="Cinzel" w:hAnsi="Cinzel"/>
                <w:b/>
                <w:bCs/>
                <w:color w:val="022D4C"/>
                <w:sz w:val="13"/>
                <w:szCs w:val="13"/>
              </w:rPr>
              <w:t xml:space="preserve">ASK INSTEAD</w:t>
            </w:r>
          </w:p>
          <w:p>
            <w:pPr>
              <w:spacing w:after="0" w:before="0"/>
            </w:pPr>
            <w:r>
              <w:rPr>
                <w:rFonts w:ascii="Cormorant Garamond" w:cs="Cormorant Garamond" w:eastAsia="Cormorant Garamond" w:hAnsi="Cormorant Garamond"/>
                <w:i/>
                <w:iCs/>
                <w:color w:val="022D4C"/>
                <w:sz w:val="16"/>
                <w:szCs w:val="16"/>
              </w:rPr>
              <w:t xml:space="preserve">Who in this room is most likely wrong, and why?</w:t>
            </w:r>
          </w:p>
        </w:tc>
      </w:tr>
      <w:tr>
        <w:tc>
          <w:tcPr>
            <w:tcW w:type="dxa" w:w="700"/>
            <w:tcBorders>
              <w:top w:val="none"/>
              <w:left w:val="none"/>
              <w:bottom w:val="none"/>
              <w:right w:val="none"/>
            </w:tcBorders>
            <w:shd w:fill="DB931D" w:val="clear"/>
            <w:tcMar>
              <w:top w:type="dxa" w:w="120"/>
              <w:left w:type="dxa" w:w="80"/>
              <w:bottom w:type="dxa" w:w="120"/>
              <w:right w:type="dxa" w:w="60"/>
            </w:tcMar>
            <w:vAlign w:val="top"/>
          </w:tcPr>
          <w:p>
            <w:pPr>
              <w:jc w:val="center"/>
            </w:pPr>
            <w:r>
              <w:rPr>
                <w:rFonts w:ascii="Cinzel" w:cs="Cinzel" w:eastAsia="Cinzel" w:hAnsi="Cinzel"/>
                <w:b/>
                <w:bCs/>
                <w:color w:val="022D4C"/>
                <w:sz w:val="34"/>
                <w:szCs w:val="34"/>
              </w:rPr>
              <w:t xml:space="preserve">5</w:t>
            </w:r>
          </w:p>
        </w:tc>
        <w:tc>
          <w:tcPr>
            <w:tcW w:type="dxa" w:w="7440"/>
            <w:tcBorders>
              <w:top w:val="none"/>
              <w:left w:val="none"/>
              <w:bottom w:val="none"/>
              <w:right w:val="none"/>
            </w:tcBorders>
            <w:shd w:fill="FFFFFF" w:val="clear"/>
            <w:tcMar>
              <w:top w:type="dxa" w:w="120"/>
              <w:left w:type="dxa" w:w="130"/>
              <w:bottom w:type="dxa" w:w="120"/>
              <w:right w:type="dxa" w:w="80"/>
            </w:tcMar>
            <w:vAlign w:val="top"/>
          </w:tcPr>
          <w:p>
            <w:pPr>
              <w:spacing w:after="35" w:before="0"/>
            </w:pPr>
            <w:r>
              <w:rPr>
                <w:rFonts w:ascii="Cinzel" w:cs="Cinzel" w:eastAsia="Cinzel" w:hAnsi="Cinzel"/>
                <w:b/>
                <w:bCs/>
                <w:color w:val="022D4C"/>
                <w:sz w:val="21"/>
                <w:szCs w:val="21"/>
              </w:rPr>
              <w:t xml:space="preserve">Inside Perspective Hides Blind Spots</w:t>
            </w:r>
          </w:p>
          <w:p>
            <w:pPr>
              <w:spacing w:after="0" w:before="0"/>
            </w:pPr>
            <w:r>
              <w:rPr>
                <w:rFonts w:ascii="Cormorant Garamond" w:cs="Cormorant Garamond" w:eastAsia="Cormorant Garamond" w:hAnsi="Cormorant Garamond"/>
                <w:color w:val="022D4C"/>
                <w:sz w:val="18"/>
                <w:szCs w:val="18"/>
              </w:rPr>
              <w:t xml:space="preserve">Inside a company, everyone shares the same blind spots. That's what makes them blind spots. The leadership team sees the same information, carries the same assumptions, and is subject to the same organizational pressures. The person who sees what the room can't is almost never in the room.</w:t>
            </w:r>
          </w:p>
        </w:tc>
        <w:tc>
          <w:tcPr>
            <w:tcW w:type="dxa" w:w="1400"/>
            <w:tcBorders>
              <w:top w:val="none"/>
              <w:left w:val="none"/>
              <w:bottom w:val="none"/>
              <w:right w:val="none"/>
            </w:tcBorders>
            <w:shd w:fill="D6E2EC" w:val="clear"/>
            <w:tcMar>
              <w:top w:type="dxa" w:w="120"/>
              <w:left w:type="dxa" w:w="80"/>
              <w:bottom w:type="dxa" w:w="120"/>
              <w:right w:type="dxa" w:w="80"/>
            </w:tcMar>
            <w:vAlign w:val="top"/>
          </w:tcPr>
          <w:p>
            <w:pPr>
              <w:spacing w:after="28" w:before="0"/>
            </w:pPr>
            <w:r>
              <w:rPr>
                <w:rFonts w:ascii="Cinzel" w:cs="Cinzel" w:eastAsia="Cinzel" w:hAnsi="Cinzel"/>
                <w:b/>
                <w:bCs/>
                <w:color w:val="022D4C"/>
                <w:sz w:val="13"/>
                <w:szCs w:val="13"/>
              </w:rPr>
              <w:t xml:space="preserve">ASK INSTEAD</w:t>
            </w:r>
          </w:p>
          <w:p>
            <w:pPr>
              <w:spacing w:after="0" w:before="0"/>
            </w:pPr>
            <w:r>
              <w:rPr>
                <w:rFonts w:ascii="Cormorant Garamond" w:cs="Cormorant Garamond" w:eastAsia="Cormorant Garamond" w:hAnsi="Cormorant Garamond"/>
                <w:i/>
                <w:iCs/>
                <w:color w:val="022D4C"/>
                <w:sz w:val="16"/>
                <w:szCs w:val="16"/>
              </w:rPr>
              <w:t xml:space="preserve">Who outside this room would see this differently?</w:t>
            </w:r>
          </w:p>
        </w:tc>
      </w:tr>
    </w:tbl>
    <w:p>
      <w:pPr>
        <w:pBdr>
          <w:bottom w:val="single" w:color="DB931D" w:sz="10"/>
        </w:pBdr>
        <w:spacing w:after="55" w:before="60"/>
      </w:pPr>
    </w:p>
    <w:tbl>
      <w:tblPr>
        <w:tblW w:type="dxa" w:w="9540"/>
        <w:tblBorders>
          <w:top w:val="none"/>
          <w:left w:val="none"/>
          <w:bottom w:val="none"/>
          <w:right w:val="none"/>
          <w:insideH w:val="single" w:color="auto" w:sz="4"/>
          <w:insideV w:val="single" w:color="auto" w:sz="4"/>
        </w:tblBorders>
      </w:tblPr>
      <w:tblGrid>
        <w:gridCol w:w="5900"/>
        <w:gridCol w:w="3640"/>
      </w:tblGrid>
      <w:tr>
        <w:tc>
          <w:tcPr>
            <w:tcW w:type="dxa" w:w="5900"/>
            <w:tcBorders>
              <w:top w:val="none"/>
              <w:left w:val="none"/>
              <w:bottom w:val="none"/>
              <w:right w:val="none"/>
            </w:tcBorders>
            <w:shd w:fill="FFFFFF" w:val="clear"/>
            <w:tcMar>
              <w:top w:type="dxa" w:w="0"/>
              <w:left w:type="dxa" w:w="0"/>
              <w:bottom w:type="dxa" w:w="0"/>
              <w:right w:type="dxa" w:w="100"/>
            </w:tcMar>
            <w:vAlign w:val="top"/>
          </w:tcPr>
          <w:p>
            <w:pPr>
              <w:spacing w:after="40" w:before="0"/>
            </w:pPr>
            <w:r>
              <w:rPr>
                <w:rFonts w:ascii="Cinzel" w:cs="Cinzel" w:eastAsia="Cinzel" w:hAnsi="Cinzel"/>
                <w:b/>
                <w:bCs/>
                <w:color w:val="022D4C"/>
                <w:sz w:val="19"/>
                <w:szCs w:val="19"/>
              </w:rPr>
              <w:t xml:space="preserve">WHAT TO DO ABOUT IT</w:t>
            </w:r>
          </w:p>
          <w:p>
            <w:pPr>
              <w:spacing w:after="50" w:before="0"/>
            </w:pPr>
            <w:r>
              <w:rPr>
                <w:rFonts w:ascii="Cormorant Garamond" w:cs="Cormorant Garamond" w:eastAsia="Cormorant Garamond" w:hAnsi="Cormorant Garamond"/>
                <w:color w:val="022D4C"/>
                <w:sz w:val="17"/>
                <w:szCs w:val="17"/>
              </w:rPr>
              <w:t xml:space="preserve">None of these five patterns are signs of a bad leader. They're the natural result of leading under pressure, without a consistent process for slowing down long enough to ask the right questions.</w:t>
            </w:r>
          </w:p>
          <w:p>
            <w:pPr>
              <w:spacing w:after="50" w:before="0"/>
            </w:pPr>
            <w:r>
              <w:rPr>
                <w:rFonts w:ascii="Cormorant Garamond" w:cs="Cormorant Garamond" w:eastAsia="Cormorant Garamond" w:hAnsi="Cormorant Garamond"/>
                <w:color w:val="022D4C"/>
                <w:sz w:val="17"/>
                <w:szCs w:val="17"/>
              </w:rPr>
              <w:t xml:space="preserve">The five-question Executive Decision Filter exists specifically to interrupt these patterns before they produce an outcome that can't be reversed. It doesn't slow decisions down. It slows the assumption-making down — which is where most of the damage happens.</w:t>
            </w:r>
          </w:p>
          <w:p>
            <w:pPr>
              <w:spacing w:after="0" w:before="0"/>
            </w:pPr>
            <w:r>
              <w:rPr>
                <w:rFonts w:ascii="Cormorant Garamond" w:cs="Cormorant Garamond" w:eastAsia="Cormorant Garamond" w:hAnsi="Cormorant Garamond"/>
                <w:i/>
                <w:iCs/>
                <w:color w:val="022D4C"/>
                <w:sz w:val="17"/>
                <w:szCs w:val="17"/>
              </w:rPr>
              <w:t xml:space="preserve">Better questions before the decision. Better outcomes after it.</w:t>
            </w:r>
          </w:p>
        </w:tc>
        <w:tc>
          <w:tcPr>
            <w:tcW w:type="dxa" w:w="3640"/>
            <w:tcBorders>
              <w:top w:val="none"/>
              <w:left w:val="none"/>
              <w:bottom w:val="none"/>
              <w:right w:val="none"/>
            </w:tcBorders>
            <w:shd w:fill="022D4C" w:val="clear"/>
            <w:tcMar>
              <w:top w:type="dxa" w:w="120"/>
              <w:left w:type="dxa" w:w="150"/>
              <w:bottom w:type="dxa" w:w="120"/>
              <w:right w:type="dxa" w:w="120"/>
            </w:tcMar>
            <w:vAlign w:val="top"/>
          </w:tcPr>
          <w:p>
            <w:pPr>
              <w:spacing w:after="50" w:before="0"/>
            </w:pPr>
            <w:r>
              <w:rPr>
                <w:rFonts w:ascii="Cinzel" w:cs="Cinzel" w:eastAsia="Cinzel" w:hAnsi="Cinzel"/>
                <w:b/>
                <w:bCs/>
                <w:color w:val="DB931D"/>
                <w:sz w:val="18"/>
                <w:szCs w:val="18"/>
              </w:rPr>
              <w:t xml:space="preserve">THE NEXT STEP</w:t>
            </w:r>
          </w:p>
          <w:p>
            <w:pPr>
              <w:spacing w:after="55" w:before="0"/>
            </w:pPr>
            <w:r>
              <w:rPr>
                <w:rFonts w:ascii="Cormorant Garamond" w:cs="Cormorant Garamond" w:eastAsia="Cormorant Garamond" w:hAnsi="Cormorant Garamond"/>
                <w:color w:val="FFFFFF"/>
                <w:sz w:val="17"/>
                <w:szCs w:val="17"/>
              </w:rPr>
              <w:t xml:space="preserve">If any of these five patterns look familiar, applying a consistent decision filter to your specific team and situation is where the real work begins.</w:t>
            </w:r>
          </w:p>
          <w:p>
            <w:pPr>
              <w:spacing w:after="55" w:before="0"/>
            </w:pPr>
            <w:r>
              <w:rPr>
                <w:rFonts w:ascii="Cormorant Garamond" w:cs="Cormorant Garamond" w:eastAsia="Cormorant Garamond" w:hAnsi="Cormorant Garamond"/>
                <w:i/>
                <w:iCs/>
                <w:color w:val="FFFFFF"/>
                <w:sz w:val="17"/>
                <w:szCs w:val="17"/>
              </w:rPr>
              <w:t xml:space="preserve">That work is usually easier with someone outside the room.</w:t>
            </w:r>
          </w:p>
          <w:p>
            <w:pPr>
              <w:spacing w:after="40" w:before="0"/>
            </w:pPr>
            <w:r>
              <w:rPr>
                <w:rFonts w:ascii="Cinzel" w:cs="Cinzel" w:eastAsia="Cinzel" w:hAnsi="Cinzel"/>
                <w:b/>
                <w:bCs/>
                <w:color w:val="DB931D"/>
                <w:sz w:val="16"/>
                <w:szCs w:val="16"/>
              </w:rPr>
              <w:t xml:space="preserve">BOOK A FREE CONVERSATION</w:t>
            </w:r>
          </w:p>
          <w:p>
            <w:pPr>
              <w:spacing w:after="0" w:before="0"/>
            </w:pPr>
            <w:r>
              <w:rPr>
                <w:rFonts w:ascii="Cormorant Garamond" w:cs="Cormorant Garamond" w:eastAsia="Cormorant Garamond" w:hAnsi="Cormorant Garamond"/>
                <w:color w:val="D6E2EC"/>
                <w:sz w:val="16"/>
                <w:szCs w:val="16"/>
              </w:rPr>
              <w:t xml:space="preserve">kingdomplanning.org/book-online</w:t>
            </w:r>
          </w:p>
        </w:tc>
      </w:tr>
    </w:tbl>
    <w:p>
      <w:pPr>
        <w:pBdr>
          <w:bottom w:val="single" w:color="DB931D" w:sz="10"/>
        </w:pBdr>
        <w:spacing w:after="44" w:before="55"/>
      </w:pPr>
    </w:p>
    <w:p>
      <w:pPr>
        <w:spacing w:after="0" w:before="0"/>
        <w:jc w:val="center"/>
      </w:pPr>
      <w:r>
        <w:rPr>
          <w:rFonts w:ascii="Cormorant Garamond" w:cs="Cormorant Garamond" w:eastAsia="Cormorant Garamond" w:hAnsi="Cormorant Garamond"/>
          <w:color w:val="022D4C"/>
          <w:sz w:val="16"/>
          <w:szCs w:val="16"/>
        </w:rPr>
        <w:t xml:space="preserve">kingdomplanning.org</w:t>
      </w:r>
      <w:r>
        <w:rPr>
          <w:rFonts w:ascii="Cormorant Garamond" w:cs="Cormorant Garamond" w:eastAsia="Cormorant Garamond" w:hAnsi="Cormorant Garamond"/>
          <w:color w:val="022D4C"/>
          <w:sz w:val="16"/>
          <w:szCs w:val="16"/>
        </w:rPr>
        <w:t xml:space="preserve">  |  </w:t>
      </w:r>
      <w:r>
        <w:rPr>
          <w:rFonts w:ascii="Cormorant Garamond" w:cs="Cormorant Garamond" w:eastAsia="Cormorant Garamond" w:hAnsi="Cormorant Garamond"/>
          <w:color w:val="888888"/>
          <w:sz w:val="14"/>
          <w:szCs w:val="14"/>
        </w:rPr>
        <w:t xml:space="preserve">© Kingdom Planning LLC. All rights reserved.</w:t>
      </w:r>
    </w:p>
    <w:sectPr>
      <w:pgSz w:w="12240" w:h="15840" w:orient="portrait"/>
      <w:pgMar w:top="700" w:right="900" w:bottom="700" w:left="9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2026-08-13T11:04:24.873Z</dcterms:created>
  <dcterms:modified xsi:type="dcterms:W3CDTF">2026-08-13T11:04:24.885Z</dcterms:modified>
</cp:coreProperties>
</file>

<file path=docProps/custom.xml><?xml version="1.0" encoding="utf-8"?>
<Properties xmlns="http://schemas.openxmlformats.org/officeDocument/2006/custom-properties" xmlns:vt="http://schemas.openxmlformats.org/officeDocument/2006/docPropsVTypes"/>
</file>